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52" w:rsidRPr="00D01052" w:rsidRDefault="00D01052" w:rsidP="00D010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5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D010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0105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01052">
        <w:rPr>
          <w:sz w:val="28"/>
          <w:szCs w:val="28"/>
        </w:rPr>
        <w:t xml:space="preserve"> </w:t>
      </w:r>
      <w:r w:rsidRPr="00D01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Перечень видов 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высокотехнологичной медицинской 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помощи, не включенных в 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базовую программу обязательного </w:t>
      </w:r>
      <w:r w:rsidRPr="00D01052">
        <w:rPr>
          <w:rFonts w:ascii="Times New Roman" w:eastAsia="Calibri" w:hAnsi="Times New Roman" w:cs="Times New Roman"/>
          <w:sz w:val="28"/>
          <w:szCs w:val="28"/>
        </w:rPr>
        <w:t>медицинского страхования,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 финансовое обеспечение которых </w:t>
      </w:r>
      <w:r w:rsidRPr="00D01052">
        <w:rPr>
          <w:rFonts w:ascii="Times New Roman" w:eastAsia="Calibri" w:hAnsi="Times New Roman" w:cs="Times New Roman"/>
          <w:sz w:val="28"/>
          <w:szCs w:val="28"/>
        </w:rPr>
        <w:t>осуществляется за счет с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убсидий из бюджета Федерального </w:t>
      </w:r>
      <w:r w:rsidRPr="00D01052">
        <w:rPr>
          <w:rFonts w:ascii="Times New Roman" w:eastAsia="Calibri" w:hAnsi="Times New Roman" w:cs="Times New Roman"/>
          <w:sz w:val="28"/>
          <w:szCs w:val="28"/>
        </w:rPr>
        <w:t>фонда обязательного медиц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инского страхования федеральным </w:t>
      </w:r>
      <w:r w:rsidRPr="00D01052">
        <w:rPr>
          <w:rFonts w:ascii="Times New Roman" w:eastAsia="Calibri" w:hAnsi="Times New Roman" w:cs="Times New Roman"/>
          <w:sz w:val="28"/>
          <w:szCs w:val="28"/>
        </w:rPr>
        <w:t>государственным учрежде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ниям и медицинским организациям </w:t>
      </w:r>
      <w:r w:rsidRPr="00D01052">
        <w:rPr>
          <w:rFonts w:ascii="Times New Roman" w:eastAsia="Calibri" w:hAnsi="Times New Roman" w:cs="Times New Roman"/>
          <w:sz w:val="28"/>
          <w:szCs w:val="28"/>
        </w:rPr>
        <w:t>частной системы здравоох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ранения, бюджетных ассигнований </w:t>
      </w:r>
      <w:r w:rsidRPr="00D01052">
        <w:rPr>
          <w:rFonts w:ascii="Times New Roman" w:eastAsia="Calibri" w:hAnsi="Times New Roman" w:cs="Times New Roman"/>
          <w:sz w:val="28"/>
          <w:szCs w:val="28"/>
        </w:rPr>
        <w:t>федерального бюджета в целях предоставления субсидий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052">
        <w:rPr>
          <w:rFonts w:ascii="Times New Roman" w:eastAsia="Calibri" w:hAnsi="Times New Roman" w:cs="Times New Roman"/>
          <w:sz w:val="28"/>
          <w:szCs w:val="28"/>
        </w:rPr>
        <w:t>бюджетам субъектов Российско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й Федерации на </w:t>
      </w:r>
      <w:proofErr w:type="spellStart"/>
      <w:r w:rsidRPr="00D0105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052">
        <w:rPr>
          <w:rFonts w:ascii="Times New Roman" w:eastAsia="Calibri" w:hAnsi="Times New Roman" w:cs="Times New Roman"/>
          <w:sz w:val="28"/>
          <w:szCs w:val="28"/>
        </w:rPr>
        <w:t>расходов, возникающих пр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и оказании гражданам Российской </w:t>
      </w:r>
      <w:r w:rsidRPr="00D01052">
        <w:rPr>
          <w:rFonts w:ascii="Times New Roman" w:eastAsia="Calibri" w:hAnsi="Times New Roman" w:cs="Times New Roman"/>
          <w:sz w:val="28"/>
          <w:szCs w:val="28"/>
        </w:rPr>
        <w:t>Федерации высокоте</w:t>
      </w:r>
      <w:r w:rsidRPr="00D01052">
        <w:rPr>
          <w:rFonts w:ascii="Times New Roman" w:eastAsia="Calibri" w:hAnsi="Times New Roman" w:cs="Times New Roman"/>
          <w:sz w:val="28"/>
          <w:szCs w:val="28"/>
        </w:rPr>
        <w:t>хнологичной медицинской помощи</w:t>
      </w:r>
      <w:proofErr w:type="gramEnd"/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1052">
        <w:rPr>
          <w:rFonts w:ascii="Times New Roman" w:eastAsia="Calibri" w:hAnsi="Times New Roman" w:cs="Times New Roman"/>
          <w:sz w:val="28"/>
          <w:szCs w:val="28"/>
        </w:rPr>
        <w:t xml:space="preserve">и бюджетных </w:t>
      </w:r>
      <w:r w:rsidRPr="00D01052">
        <w:rPr>
          <w:rFonts w:ascii="Times New Roman" w:eastAsia="Calibri" w:hAnsi="Times New Roman" w:cs="Times New Roman"/>
          <w:sz w:val="28"/>
          <w:szCs w:val="28"/>
        </w:rPr>
        <w:t>ассигнований бюджетов субъектов Российской Федерации</w:t>
      </w:r>
    </w:p>
    <w:p w:rsidR="00D01052" w:rsidRPr="00D01052" w:rsidRDefault="00D01052" w:rsidP="00D0105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0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98"/>
        <w:gridCol w:w="1479"/>
        <w:gridCol w:w="12635"/>
      </w:tblGrid>
      <w:tr w:rsidR="00D01052" w:rsidRPr="00D01052" w:rsidTr="00D81F6A">
        <w:tc>
          <w:tcPr>
            <w:tcW w:w="14884" w:type="dxa"/>
            <w:gridSpan w:val="4"/>
            <w:vAlign w:val="center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02.00 акушерство и гинекология</w:t>
            </w:r>
          </w:p>
        </w:tc>
      </w:tr>
      <w:tr w:rsidR="00D01052" w:rsidRPr="00D01052" w:rsidTr="00D81F6A">
        <w:tc>
          <w:tcPr>
            <w:tcW w:w="14884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 группа</w:t>
            </w:r>
            <w:bookmarkStart w:id="0" w:name="_GoBack"/>
            <w:bookmarkEnd w:id="0"/>
          </w:p>
        </w:tc>
      </w:tr>
      <w:tr w:rsidR="00D01052" w:rsidRPr="00D01052" w:rsidTr="00D81F6A">
        <w:tc>
          <w:tcPr>
            <w:tcW w:w="270" w:type="dxa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03E061A4" wp14:editId="520E719F">
                  <wp:extent cx="152400" cy="152400"/>
                  <wp:effectExtent l="19050" t="0" r="0" b="0"/>
                  <wp:docPr id="1" name="Рисунок 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25pt;height:18pt" o:ole="">
                  <v:imagedata r:id="rId6" o:title=""/>
                </v:shape>
                <w:control r:id="rId7" w:name="DefaultOcxName41" w:shapeid="_x0000_i105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02.00.4.001. </w:t>
            </w:r>
          </w:p>
        </w:tc>
        <w:tc>
          <w:tcPr>
            <w:tcW w:w="12561" w:type="dxa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и малоинва</w:t>
            </w: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softHyphen/>
              <w:t xml:space="preserve">зивное хирургическое органосохраняющее лечение миомы матки, </w:t>
            </w: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аденомиоза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(узловой формы) у женщин с применением реконструктивно-пластических операций, органосохраняющие операции при </w:t>
            </w: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родоразрешении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 женщин с миомой матки больших размеров, с истинным приращением плаценты, </w:t>
            </w: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маточных артерий и ультразвуковой </w:t>
            </w: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аблации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под ультразвуковым контролем и (или) контролем магнитно-резонансной томографии</w:t>
            </w:r>
          </w:p>
        </w:tc>
      </w:tr>
      <w:tr w:rsidR="00D01052" w:rsidRPr="00D01052" w:rsidTr="00D81F6A">
        <w:tc>
          <w:tcPr>
            <w:tcW w:w="14884" w:type="dxa"/>
            <w:gridSpan w:val="4"/>
            <w:vAlign w:val="center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 травматология и ортопедия</w:t>
            </w:r>
          </w:p>
        </w:tc>
      </w:tr>
      <w:tr w:rsidR="00D01052" w:rsidRPr="00D01052" w:rsidTr="00D81F6A">
        <w:tc>
          <w:tcPr>
            <w:tcW w:w="14884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1052" w:rsidRPr="00D01052" w:rsidRDefault="00D01052" w:rsidP="00D01052">
            <w:pPr>
              <w:tabs>
                <w:tab w:val="left" w:pos="12927"/>
                <w:tab w:val="left" w:pos="15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55 группа</w:t>
            </w:r>
          </w:p>
        </w:tc>
      </w:tr>
      <w:tr w:rsidR="00D01052" w:rsidRPr="00D01052" w:rsidTr="00D81F6A">
        <w:tc>
          <w:tcPr>
            <w:tcW w:w="270" w:type="dxa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0F29BE93" wp14:editId="4F80D0C3">
                  <wp:extent cx="152400" cy="152400"/>
                  <wp:effectExtent l="19050" t="0" r="0" b="0"/>
                  <wp:docPr id="2" name="Рисунок 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6" o:title=""/>
                </v:shape>
                <w:control r:id="rId8" w:name="DefaultOcxName251" w:shapeid="_x0000_i105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16.00.55.001. </w:t>
            </w:r>
          </w:p>
        </w:tc>
        <w:tc>
          <w:tcPr>
            <w:tcW w:w="12561" w:type="dxa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ind w:left="-3472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</w:tr>
      <w:tr w:rsidR="00D01052" w:rsidRPr="00D01052" w:rsidTr="00D81F6A">
        <w:tc>
          <w:tcPr>
            <w:tcW w:w="270" w:type="dxa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1BD5ADFF" wp14:editId="6F80CB5A">
                  <wp:extent cx="152400" cy="152400"/>
                  <wp:effectExtent l="19050" t="0" r="0" b="0"/>
                  <wp:docPr id="3" name="Рисунок 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6" o:title=""/>
                </v:shape>
                <w:control r:id="rId9" w:name="DefaultOcxName261" w:shapeid="_x0000_i104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16.00.55.002. </w:t>
            </w:r>
          </w:p>
        </w:tc>
        <w:tc>
          <w:tcPr>
            <w:tcW w:w="12561" w:type="dxa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</w:tr>
      <w:tr w:rsidR="00D01052" w:rsidRPr="00D01052" w:rsidTr="00D81F6A">
        <w:tc>
          <w:tcPr>
            <w:tcW w:w="270" w:type="dxa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3B0632FB" wp14:editId="77DEA79D">
                  <wp:extent cx="152400" cy="152400"/>
                  <wp:effectExtent l="19050" t="0" r="0" b="0"/>
                  <wp:docPr id="4" name="Рисунок 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48" type="#_x0000_t75" style="width:20.25pt;height:18pt" o:ole="">
                  <v:imagedata r:id="rId6" o:title=""/>
                </v:shape>
                <w:control r:id="rId10" w:name="DefaultOcxName271" w:shapeid="_x0000_i104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16.00.55.003. </w:t>
            </w:r>
          </w:p>
        </w:tc>
        <w:tc>
          <w:tcPr>
            <w:tcW w:w="12561" w:type="dxa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суставов конечностей у больных с системными заболеваниями соединительной ткани</w:t>
            </w:r>
          </w:p>
        </w:tc>
      </w:tr>
      <w:tr w:rsidR="00D01052" w:rsidRPr="00D01052" w:rsidTr="00D81F6A">
        <w:tc>
          <w:tcPr>
            <w:tcW w:w="14884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1052" w:rsidRPr="00D01052" w:rsidRDefault="00D01052" w:rsidP="00D01052">
            <w:pPr>
              <w:tabs>
                <w:tab w:val="left" w:pos="13884"/>
              </w:tabs>
              <w:spacing w:after="0" w:line="240" w:lineRule="auto"/>
              <w:ind w:right="9105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58 группа</w:t>
            </w:r>
          </w:p>
        </w:tc>
      </w:tr>
      <w:tr w:rsidR="00D01052" w:rsidRPr="00D01052" w:rsidTr="00D81F6A">
        <w:tc>
          <w:tcPr>
            <w:tcW w:w="270" w:type="dxa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33D12979" wp14:editId="7A30CEF6">
                  <wp:extent cx="152400" cy="152400"/>
                  <wp:effectExtent l="19050" t="0" r="0" b="0"/>
                  <wp:docPr id="5" name="Рисунок 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47" type="#_x0000_t75" style="width:20.25pt;height:18pt" o:ole="">
                  <v:imagedata r:id="rId6" o:title=""/>
                </v:shape>
                <w:control r:id="rId11" w:name="DefaultOcxName30" w:shapeid="_x0000_i104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16.00.58.001. </w:t>
            </w:r>
          </w:p>
        </w:tc>
        <w:tc>
          <w:tcPr>
            <w:tcW w:w="12561" w:type="dxa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Реэндопротезирование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суставов конечностей</w:t>
            </w:r>
          </w:p>
        </w:tc>
      </w:tr>
      <w:tr w:rsidR="00D01052" w:rsidRPr="00D01052" w:rsidTr="00D81F6A">
        <w:tc>
          <w:tcPr>
            <w:tcW w:w="14884" w:type="dxa"/>
            <w:gridSpan w:val="4"/>
            <w:vAlign w:val="center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 урология</w:t>
            </w:r>
          </w:p>
        </w:tc>
      </w:tr>
      <w:tr w:rsidR="00D01052" w:rsidRPr="00D01052" w:rsidTr="00D81F6A">
        <w:tc>
          <w:tcPr>
            <w:tcW w:w="14884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65 группа</w:t>
            </w:r>
          </w:p>
        </w:tc>
      </w:tr>
      <w:tr w:rsidR="00D01052" w:rsidRPr="00D01052" w:rsidTr="00D81F6A">
        <w:tc>
          <w:tcPr>
            <w:tcW w:w="270" w:type="dxa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D80A290" wp14:editId="0AE93712">
                  <wp:extent cx="152400" cy="152400"/>
                  <wp:effectExtent l="19050" t="0" r="0" b="0"/>
                  <wp:docPr id="6" name="Рисунок 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46" type="#_x0000_t75" style="width:20.25pt;height:18pt" o:ole="">
                  <v:imagedata r:id="rId6" o:title=""/>
                </v:shape>
                <w:control r:id="rId12" w:name="DefaultOcxName32" w:shapeid="_x0000_i104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18.00.65.001. </w:t>
            </w:r>
          </w:p>
        </w:tc>
        <w:tc>
          <w:tcPr>
            <w:tcW w:w="12561" w:type="dxa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</w:tr>
      <w:tr w:rsidR="00D01052" w:rsidRPr="00D01052" w:rsidTr="00D81F6A">
        <w:tc>
          <w:tcPr>
            <w:tcW w:w="270" w:type="dxa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2FF26F54" wp14:editId="02A5AF6E">
                  <wp:extent cx="152400" cy="152400"/>
                  <wp:effectExtent l="19050" t="0" r="0" b="0"/>
                  <wp:docPr id="7" name="Рисунок 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45" type="#_x0000_t75" style="width:20.25pt;height:18pt" o:ole="">
                  <v:imagedata r:id="rId6" o:title=""/>
                </v:shape>
                <w:control r:id="rId13" w:name="DefaultOcxName33" w:shapeid="_x0000_i104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18.00.65.002. </w:t>
            </w:r>
          </w:p>
        </w:tc>
        <w:tc>
          <w:tcPr>
            <w:tcW w:w="12561" w:type="dxa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</w:tr>
      <w:tr w:rsidR="00D01052" w:rsidRPr="00D01052" w:rsidTr="00D81F6A">
        <w:tc>
          <w:tcPr>
            <w:tcW w:w="270" w:type="dxa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2947AE22" wp14:editId="3DF01769">
                  <wp:extent cx="152400" cy="152400"/>
                  <wp:effectExtent l="19050" t="0" r="0" b="0"/>
                  <wp:docPr id="8" name="Рисунок 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44" type="#_x0000_t75" style="width:20.25pt;height:18pt" o:ole="">
                  <v:imagedata r:id="rId6" o:title=""/>
                </v:shape>
                <w:control r:id="rId14" w:name="DefaultOcxName34" w:shapeid="_x0000_i104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18.00.65.003. </w:t>
            </w:r>
          </w:p>
        </w:tc>
        <w:tc>
          <w:tcPr>
            <w:tcW w:w="12561" w:type="dxa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</w:tr>
      <w:tr w:rsidR="00D01052" w:rsidRPr="00D01052" w:rsidTr="00D81F6A">
        <w:tc>
          <w:tcPr>
            <w:tcW w:w="14884" w:type="dxa"/>
            <w:gridSpan w:val="4"/>
            <w:vAlign w:val="center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20.00 Эндокринология</w:t>
            </w:r>
          </w:p>
        </w:tc>
      </w:tr>
      <w:tr w:rsidR="00D01052" w:rsidRPr="00D01052" w:rsidTr="00D81F6A">
        <w:tc>
          <w:tcPr>
            <w:tcW w:w="14884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70 группа</w:t>
            </w:r>
          </w:p>
        </w:tc>
      </w:tr>
      <w:tr w:rsidR="00D01052" w:rsidRPr="00D01052" w:rsidTr="00D81F6A">
        <w:tc>
          <w:tcPr>
            <w:tcW w:w="270" w:type="dxa"/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3EBEE572" wp14:editId="3C751923">
                  <wp:extent cx="152400" cy="152400"/>
                  <wp:effectExtent l="19050" t="0" r="0" b="0"/>
                  <wp:docPr id="9" name="Рисунок 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6" o:title=""/>
                </v:shape>
                <w:control r:id="rId15" w:name="DefaultOcxName37" w:shapeid="_x0000_i104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20.00.70.001. </w:t>
            </w:r>
          </w:p>
        </w:tc>
        <w:tc>
          <w:tcPr>
            <w:tcW w:w="12561" w:type="dxa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D01052" w:rsidRPr="00D01052" w:rsidRDefault="00D01052" w:rsidP="00D0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gram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Хирургическая</w:t>
            </w:r>
            <w:proofErr w:type="gram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, сосудистая и </w:t>
            </w: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D0105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магистральных артерий нижних конечностей при синдроме диабетической стопы</w:t>
            </w:r>
          </w:p>
        </w:tc>
      </w:tr>
    </w:tbl>
    <w:p w:rsidR="00D01052" w:rsidRPr="00D01052" w:rsidRDefault="00D01052" w:rsidP="00D01052">
      <w:pPr>
        <w:spacing w:after="0" w:line="240" w:lineRule="auto"/>
        <w:rPr>
          <w:rFonts w:ascii="Microsoft Sans Serif" w:eastAsia="Times New Roman" w:hAnsi="Microsoft Sans Serif" w:cs="Microsoft Sans Serif"/>
          <w:color w:val="343434"/>
          <w:sz w:val="23"/>
          <w:szCs w:val="23"/>
          <w:lang w:eastAsia="ru-RU"/>
        </w:rPr>
      </w:pPr>
    </w:p>
    <w:tbl>
      <w:tblPr>
        <w:tblW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D01052" w:rsidRPr="00D01052" w:rsidTr="00D81F6A">
        <w:tc>
          <w:tcPr>
            <w:tcW w:w="75" w:type="dxa"/>
            <w:vAlign w:val="center"/>
            <w:hideMark/>
          </w:tcPr>
          <w:p w:rsidR="00D01052" w:rsidRPr="00D01052" w:rsidRDefault="00D01052" w:rsidP="00D0105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43434"/>
                <w:sz w:val="23"/>
                <w:szCs w:val="23"/>
                <w:lang w:eastAsia="ru-RU"/>
              </w:rPr>
            </w:pPr>
            <w:r w:rsidRPr="00D01052">
              <w:rPr>
                <w:rFonts w:ascii="Microsoft Sans Serif" w:eastAsia="Times New Roman" w:hAnsi="Microsoft Sans Serif" w:cs="Microsoft Sans Serif"/>
                <w:color w:val="343434"/>
                <w:sz w:val="23"/>
                <w:szCs w:val="23"/>
                <w:lang w:eastAsia="ru-RU"/>
              </w:rPr>
              <w:t> </w:t>
            </w:r>
          </w:p>
        </w:tc>
      </w:tr>
    </w:tbl>
    <w:p w:rsidR="00D01052" w:rsidRPr="00D01052" w:rsidRDefault="00D01052" w:rsidP="00D01052">
      <w:pPr>
        <w:spacing w:after="0" w:line="240" w:lineRule="auto"/>
        <w:rPr>
          <w:rFonts w:ascii="Microsoft Sans Serif" w:eastAsia="Times New Roman" w:hAnsi="Microsoft Sans Serif" w:cs="Microsoft Sans Serif"/>
          <w:color w:val="343434"/>
          <w:sz w:val="23"/>
          <w:szCs w:val="23"/>
          <w:lang w:eastAsia="ru-RU"/>
        </w:rPr>
      </w:pPr>
    </w:p>
    <w:p w:rsidR="003F264E" w:rsidRDefault="003F264E"/>
    <w:sectPr w:rsidR="003F264E" w:rsidSect="00560601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52"/>
    <w:rsid w:val="003F264E"/>
    <w:rsid w:val="00D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2020-01-28T08:15:00Z</dcterms:created>
  <dcterms:modified xsi:type="dcterms:W3CDTF">2020-01-28T08:17:00Z</dcterms:modified>
</cp:coreProperties>
</file>